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142FB8F6">
                  <wp:extent cx="876300" cy="8763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308D1DD2" w:rsidR="00561C78" w:rsidRPr="00125C94" w:rsidRDefault="00364526" w:rsidP="00680AA5">
            <w:pPr>
              <w:spacing w:before="280"/>
              <w:jc w:val="center"/>
              <w:rPr>
                <w:lang w:eastAsia="en-US"/>
              </w:rPr>
            </w:pPr>
            <w:r w:rsidRPr="00364526">
              <w:rPr>
                <w:sz w:val="28"/>
                <w:szCs w:val="24"/>
                <w:lang w:eastAsia="en-US"/>
              </w:rPr>
              <w:t>Journal of AgriScience Horizon and Innovation (JAHI)</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2A514CAF" w:rsidR="00561C78" w:rsidRPr="00364526" w:rsidRDefault="00561C78" w:rsidP="00680AA5">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t xml:space="preserve"> </w:t>
            </w:r>
            <w:hyperlink r:id="rId9" w:history="1">
              <w:r w:rsidR="00364526" w:rsidRPr="00364526">
                <w:rPr>
                  <w:rStyle w:val="Lienhypertexte"/>
                  <w:sz w:val="16"/>
                  <w:szCs w:val="16"/>
                </w:rPr>
                <w:t>https://www.imsyp.com/index.php/JAHI</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Appelnotedebasdep"/>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Grilledutableau"/>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Lienhypertexte"/>
            <w:rFonts w:eastAsia="Calibri"/>
            <w:noProof/>
            <w:lang w:val="en-SG" w:eastAsia="en-US"/>
          </w:rPr>
          <w:t>http://goo.gl/VU1WEk</w:t>
        </w:r>
      </w:hyperlink>
    </w:p>
    <w:p w14:paraId="793262A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1A7D" w14:textId="77777777" w:rsidR="00CC6BC1" w:rsidRDefault="00CC6BC1" w:rsidP="00561C78">
      <w:r>
        <w:separator/>
      </w:r>
    </w:p>
  </w:endnote>
  <w:endnote w:type="continuationSeparator" w:id="0">
    <w:p w14:paraId="52EBB495" w14:textId="77777777" w:rsidR="00CC6BC1" w:rsidRDefault="00CC6BC1"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6137" w14:textId="77777777" w:rsidR="00CC6BC1" w:rsidRDefault="00CC6BC1" w:rsidP="00561C78">
      <w:r>
        <w:separator/>
      </w:r>
    </w:p>
  </w:footnote>
  <w:footnote w:type="continuationSeparator" w:id="0">
    <w:p w14:paraId="4E7006DD" w14:textId="77777777" w:rsidR="00CC6BC1" w:rsidRDefault="00CC6BC1" w:rsidP="00561C78">
      <w:r>
        <w:continuationSeparator/>
      </w:r>
    </w:p>
  </w:footnote>
  <w:footnote w:id="1">
    <w:p w14:paraId="4646D3CA" w14:textId="77777777" w:rsidR="00561C78" w:rsidRPr="00641085" w:rsidRDefault="00561C78" w:rsidP="00561C78">
      <w:pPr>
        <w:pStyle w:val="Notedebasdepage"/>
        <w:rPr>
          <w:sz w:val="18"/>
          <w:szCs w:val="18"/>
        </w:rPr>
      </w:pPr>
      <w:r w:rsidRPr="005B7F92">
        <w:rPr>
          <w:rStyle w:val="Appelnotedebasdep"/>
        </w:rPr>
        <w:t>*</w:t>
      </w:r>
      <w:r>
        <w:t xml:space="preserve"> </w:t>
      </w:r>
      <w:r w:rsidRPr="00641085">
        <w:rPr>
          <w:sz w:val="18"/>
          <w:szCs w:val="18"/>
        </w:rPr>
        <w:t>Corresponding author.</w:t>
      </w:r>
    </w:p>
    <w:p w14:paraId="2637C327" w14:textId="5F9CF65C" w:rsidR="00561C78" w:rsidRDefault="00561C78" w:rsidP="00561C78">
      <w:pPr>
        <w:pStyle w:val="Notedebasdepage"/>
      </w:pPr>
      <w:r w:rsidRPr="00641085">
        <w:rPr>
          <w:sz w:val="18"/>
          <w:szCs w:val="18"/>
        </w:rPr>
        <w:t xml:space="preserve">E-mail address: </w:t>
      </w:r>
      <w:r w:rsidR="00186AB7" w:rsidRPr="00186AB7">
        <w:rPr>
          <w:sz w:val="18"/>
          <w:szCs w:val="18"/>
        </w:rPr>
        <w:t>JAHI@imsyp.com</w:t>
      </w:r>
    </w:p>
    <w:p w14:paraId="44466FAE" w14:textId="06D2A853" w:rsidR="00561C78" w:rsidRDefault="00561C78" w:rsidP="00561C78">
      <w:pPr>
        <w:pStyle w:val="Notedebasdepage"/>
        <w:rPr>
          <w:rFonts w:eastAsia="Calibri"/>
        </w:rPr>
      </w:pPr>
      <w:r w:rsidRPr="00641085">
        <w:rPr>
          <w:sz w:val="18"/>
          <w:szCs w:val="18"/>
        </w:rPr>
        <w:t xml:space="preserve">DOI: </w:t>
      </w:r>
      <w:r w:rsidRPr="003037F9">
        <w:rPr>
          <w:rFonts w:eastAsia="Calibri"/>
        </w:rPr>
        <w:t>10.24237/</w:t>
      </w:r>
      <w:r w:rsidR="00BC0BC4">
        <w:rPr>
          <w:rFonts w:eastAsia="Calibri"/>
        </w:rPr>
        <w:t>mspiy</w:t>
      </w:r>
      <w:r w:rsidRPr="003037F9">
        <w:rPr>
          <w:rFonts w:eastAsia="Calibri"/>
        </w:rPr>
        <w:t>.</w:t>
      </w:r>
      <w:r>
        <w:rPr>
          <w:rFonts w:eastAsia="Calibri"/>
        </w:rPr>
        <w:t>xxxx</w:t>
      </w:r>
      <w:r w:rsidRPr="003037F9">
        <w:rPr>
          <w:rFonts w:eastAsia="Calibri"/>
        </w:rPr>
        <w:t>.13</w:t>
      </w:r>
      <w:r>
        <w:rPr>
          <w:rFonts w:eastAsia="Calibri"/>
        </w:rPr>
        <w:t>3</w:t>
      </w:r>
      <w:r w:rsidRPr="003037F9">
        <w:rPr>
          <w:rFonts w:eastAsia="Calibri"/>
        </w:rPr>
        <w:t>01</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6"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77777777"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Diyala Journal of Engineering Sciences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77777777" w:rsidR="00561C78" w:rsidRPr="003F5EA9" w:rsidRDefault="00561C78" w:rsidP="00C50124">
    <w:pPr>
      <w:tabs>
        <w:tab w:val="left" w:pos="2682"/>
        <w:tab w:val="center" w:pos="4680"/>
        <w:tab w:val="center" w:pos="4873"/>
        <w:tab w:val="right" w:pos="9360"/>
      </w:tabs>
      <w:rPr>
        <w:rFonts w:eastAsia="Calibri" w:cs="Arial"/>
        <w:i/>
        <w:iCs/>
        <w:sz w:val="24"/>
      </w:rPr>
    </w:pPr>
    <w:r>
      <w:rPr>
        <w:rFonts w:eastAsia="Calibri" w:cs="Arial"/>
        <w:i/>
        <w:iCs/>
        <w:sz w:val="16"/>
        <w:szCs w:val="14"/>
      </w:rPr>
      <w:tab/>
    </w:r>
    <w:r>
      <w:rPr>
        <w:rFonts w:eastAsia="Calibri" w:cs="Arial"/>
        <w:i/>
        <w:iCs/>
        <w:sz w:val="16"/>
        <w:szCs w:val="14"/>
      </w:rPr>
      <w:tab/>
    </w:r>
    <w:r w:rsidRPr="00A02D1F">
      <w:rPr>
        <w:rFonts w:eastAsia="Calibri" w:cs="Arial"/>
        <w:i/>
        <w:iCs/>
        <w:sz w:val="16"/>
        <w:szCs w:val="14"/>
      </w:rPr>
      <w:t xml:space="preserve">Diyala Journal of Engineering Sciences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186AB7"/>
    <w:rsid w:val="001C0A14"/>
    <w:rsid w:val="001C20E2"/>
    <w:rsid w:val="002067CC"/>
    <w:rsid w:val="0033340D"/>
    <w:rsid w:val="00364526"/>
    <w:rsid w:val="00426CD5"/>
    <w:rsid w:val="004D277C"/>
    <w:rsid w:val="00561C78"/>
    <w:rsid w:val="00593052"/>
    <w:rsid w:val="006919CE"/>
    <w:rsid w:val="006B7E28"/>
    <w:rsid w:val="00723C81"/>
    <w:rsid w:val="00731274"/>
    <w:rsid w:val="008340A3"/>
    <w:rsid w:val="00864CD7"/>
    <w:rsid w:val="00910B5E"/>
    <w:rsid w:val="00A05119"/>
    <w:rsid w:val="00A6050C"/>
    <w:rsid w:val="00A7728C"/>
    <w:rsid w:val="00AB60F9"/>
    <w:rsid w:val="00AC637B"/>
    <w:rsid w:val="00BA6551"/>
    <w:rsid w:val="00BC0BC4"/>
    <w:rsid w:val="00C219AC"/>
    <w:rsid w:val="00CA79B3"/>
    <w:rsid w:val="00CC6BC1"/>
    <w:rsid w:val="00CD73F8"/>
    <w:rsid w:val="00D83369"/>
    <w:rsid w:val="00E26FD2"/>
    <w:rsid w:val="00E53CE8"/>
    <w:rsid w:val="00E61620"/>
    <w:rsid w:val="00E72FEB"/>
    <w:rsid w:val="00F02516"/>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61C78"/>
  </w:style>
  <w:style w:type="character" w:customStyle="1" w:styleId="NotedebasdepageCar">
    <w:name w:val="Note de bas de page Car"/>
    <w:basedOn w:val="Policepardfaut"/>
    <w:link w:val="Notedebasdepage"/>
    <w:semiHidden/>
    <w:rsid w:val="00561C78"/>
    <w:rPr>
      <w:rFonts w:ascii="Times New Roman" w:eastAsia="Times New Roman" w:hAnsi="Times New Roman" w:cs="Times New Roman"/>
      <w:sz w:val="20"/>
      <w:szCs w:val="20"/>
      <w:lang w:eastAsia="it-IT"/>
    </w:rPr>
  </w:style>
  <w:style w:type="character" w:styleId="Appelnotedebasdep">
    <w:name w:val="footnote reference"/>
    <w:basedOn w:val="Policepardfaut"/>
    <w:uiPriority w:val="99"/>
    <w:semiHidden/>
    <w:rsid w:val="00561C78"/>
    <w:rPr>
      <w:vertAlign w:val="superscript"/>
    </w:rPr>
  </w:style>
  <w:style w:type="table" w:customStyle="1" w:styleId="TableUUM1">
    <w:name w:val="Table UUM1"/>
    <w:basedOn w:val="TableauNormal"/>
    <w:next w:val="Grilledutableau"/>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561C78"/>
    <w:pPr>
      <w:tabs>
        <w:tab w:val="center" w:pos="4513"/>
        <w:tab w:val="right" w:pos="9026"/>
      </w:tabs>
    </w:pPr>
  </w:style>
  <w:style w:type="character" w:customStyle="1" w:styleId="PieddepageCar">
    <w:name w:val="Pied de page Car"/>
    <w:basedOn w:val="Policepardfaut"/>
    <w:link w:val="Pieddepage"/>
    <w:rsid w:val="00561C78"/>
    <w:rPr>
      <w:rFonts w:ascii="Times New Roman" w:eastAsia="Times New Roman" w:hAnsi="Times New Roman" w:cs="Times New Roman"/>
      <w:sz w:val="20"/>
      <w:szCs w:val="20"/>
      <w:lang w:eastAsia="it-IT"/>
    </w:rPr>
  </w:style>
  <w:style w:type="character" w:styleId="Lienhypertexte">
    <w:name w:val="Hyperlink"/>
    <w:basedOn w:val="Policepardfaut"/>
    <w:rsid w:val="00561C78"/>
    <w:rPr>
      <w:color w:val="0563C1" w:themeColor="hyperlink"/>
      <w:u w:val="single"/>
    </w:rPr>
  </w:style>
  <w:style w:type="paragraph" w:styleId="Paragraphedeliste">
    <w:name w:val="List Paragraph"/>
    <w:basedOn w:val="Normal"/>
    <w:uiPriority w:val="34"/>
    <w:qFormat/>
    <w:rsid w:val="00561C78"/>
    <w:pPr>
      <w:ind w:left="720"/>
      <w:contextualSpacing/>
    </w:pPr>
  </w:style>
  <w:style w:type="paragraph" w:styleId="En-tte">
    <w:name w:val="header"/>
    <w:basedOn w:val="Normal"/>
    <w:link w:val="En-tteCar"/>
    <w:uiPriority w:val="99"/>
    <w:unhideWhenUsed/>
    <w:rsid w:val="001C20E2"/>
    <w:pPr>
      <w:tabs>
        <w:tab w:val="center" w:pos="4153"/>
        <w:tab w:val="right" w:pos="8306"/>
      </w:tabs>
    </w:pPr>
  </w:style>
  <w:style w:type="character" w:customStyle="1" w:styleId="En-tteCar">
    <w:name w:val="En-tête Car"/>
    <w:basedOn w:val="Policepardfaut"/>
    <w:link w:val="En-tte"/>
    <w:uiPriority w:val="99"/>
    <w:rsid w:val="001C20E2"/>
    <w:rPr>
      <w:rFonts w:ascii="Times New Roman" w:eastAsia="Times New Roman" w:hAnsi="Times New Roman" w:cs="Times New Roman"/>
      <w:sz w:val="20"/>
      <w:szCs w:val="20"/>
      <w:lang w:eastAsia="it-IT"/>
    </w:rPr>
  </w:style>
  <w:style w:type="character" w:styleId="Mentionnonrsolue">
    <w:name w:val="Unresolved Mention"/>
    <w:basedOn w:val="Policepardfaut"/>
    <w:uiPriority w:val="99"/>
    <w:semiHidden/>
    <w:unhideWhenUsed/>
    <w:rsid w:val="0036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AHI"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4607</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2025-09-05T20:58:00Z</dcterms:created>
  <dcterms:modified xsi:type="dcterms:W3CDTF">2025-09-05T20:58:00Z</dcterms:modified>
</cp:coreProperties>
</file>